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Инструкция по установке ПО</w:t>
      </w:r>
    </w:p>
    <w:p w:rsidR="00000000" w:rsidDel="00000000" w:rsidP="00000000" w:rsidRDefault="00000000" w:rsidRPr="00000000" w14:paraId="0000000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Системные требования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Минимальные системные требования следующие : 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процессор: Intel i3, i5. i7 не ниже 5-го поколения или его аналог; 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скорость локальной сети: не менее 10 Мбит/сек, скорость доступа в сети Интернет не менее 5 Мбит/сек. </w:t>
      </w:r>
    </w:p>
    <w:p w:rsidR="00000000" w:rsidDel="00000000" w:rsidP="00000000" w:rsidRDefault="00000000" w:rsidRPr="00000000" w14:paraId="00000008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Требования к виртуальному серверу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566.9291338582675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CPU: 1-2 ядра;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566.9291338582675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RAM: 2-4 Гб;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566.9291338582675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Disk: 20-30 Гб;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566.9291338582675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Операционная система: Ubuntu 20.04 LTS.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Электропитание ПК должно осуществляться от однофазной электрической сети переменного тока с заземлением и номинальным напряжением 220 В и частотой 50 Гц. Рекомендовано использование источника бесперебойного питания.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Процесс установки ПО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0" w:firstLine="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Перед первым запуском 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566.9291338582675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Получение учетных данных: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Для аутентификации узлов на координаторе используется система JWT токенов.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Свяжитесь с нашей службой поддержки для получения токена: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support@cybertonica.ru</w:t>
        </w:r>
      </w:hyperlink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Генерация ключевого материала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Закрытый ключ генерируется с помощью утилиты cdb_keygen (поставляется вместе с дистрибутивом).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Параметры запуска утилиты: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--out - путь для сохранения ключа, если параметр не указан - программа выводит ключ в stdout;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-q --quiet - выводить только ключ, заглушить информационные сообщения.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Примеры запуска: 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Вывод в файл: ./cdb_keygen --out keys/node.key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Вывод в stdout (можно передавать в pipe): ./cdb_keygen -q &gt; node.key 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Замечание: не допускается смена ключа после начала работы с координатором.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566.9291338582675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Генерация токенов 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JWT Токены для доступа к API узла генерируются с помощью утилиты cdb_issuer (поставляется вместе с дистрибутивом). При запуске требуется ввести секрет, на основании которого сгенерируется ключ издателя, а далее и сам токен. Далее в консоли будут выведены ключ и токен. Также доступна работа по стандартным потокам ввода/вывода, см. пример запуска с вводом из stdin и сохранением в JSON. 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Issuer key - ключ издателя (для одинакового секрета совпадают), указывается как key в конфигурации объектов internal_api_subjects. 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Generated token - JWT токен, применяется для аутентификации запросов на узел. 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566.9291338582675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Параметры запуска утилиты: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--iss - имя издателя ключа, указывать не требуется (deprecated); 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--sub - имя аккаунта (указывается как поле name для аккаунта в файле конфигурации), обязательный параметр; 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--exp - дата и время истечения срока действия токена в Unix Epoch (секунды), по умолчанию ключ генерируется на один год; 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--json - вывести Issuer Key и Generated token как JSON, поля issuer_key и token соответственно; 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--hash - ввод интерпретируется как готовый хэш (используется для генерации ключей по возвращенному ранее Issuer key). 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ind w:left="566.9291338582675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Примеры запуска: 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С ручным вводом секрета: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 ./cdb_issuer --sub account_name --exp 1704070800 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С вводом из stdin и сохранением в JSON: 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cat issuer_secret | ./cdb_issuer --sub account_name --exp 1704070800 --json &gt; token.json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2730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3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0" w:firstLine="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Первый запуск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566.9291338582675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Установка: 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Разархивируем предоставленный дистрибутив. 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tar -zxf cdb_distro.tar.gz 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Перед началом установки отредактируем шаблон файла конфигурации ./config/node_config_example.yml и сохраним по пути ./config/node_config.yml. Описание файла конфигурации приведено в разделе Конфигурация. Стоит обратить внимание на параметры конфигурации: db_path, private_key_path, bind_address, coordinator_uri, bearer_token_for_coordinator, internal_api_subjects. Используем ключ и токен полученные в предыдущем разделе. 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На данном этапе можно переместить дистрибутив, например в папку /opt/cbt/. 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Отредактируем шаблон файла конфигурации сервиса cdb_node_example.service и сохраним в файл cdb_node.service. 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Заменим параметр User и Group на пользователя и группу, от имени которых будет запускаться процесс. Например: fh. Замечание: необходимо уточнить наличие необходимых прав на чтение, запись и исполнение у пользователя. 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Заменим параметр WorkingDirectory на расположение дистрибутива. Например: /opt/cbt/. 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Обновим параметр ExecStart, чтобы он отражал новое расположение файлов в системе. Например: /opt/cbt/cdb_node --config /opt/cbt/config/node_config.yml. 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Установим сервис в систему, для этого скопируем файл конфигурации сервиса, выполним daemon-reload и включим сервис. 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sudo cp cdb_node.service /etc/systemd/system/cdb_node.service 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sudo systemd daemon-reload 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  <w:t xml:space="preserve">sudo systemd enable cdb_node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Информация для контактов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  <w:t xml:space="preserve">Для контактов с командой разработчиков просьба обращаться по следующим контактам:</w:t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b w:val="1"/>
          <w:rtl w:val="0"/>
        </w:rPr>
        <w:t xml:space="preserve">Тел.:</w:t>
      </w:r>
      <w:r w:rsidDel="00000000" w:rsidR="00000000" w:rsidRPr="00000000">
        <w:rPr>
          <w:rtl w:val="0"/>
        </w:rPr>
        <w:t xml:space="preserve"> +7985 970 44 94</w:t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b w:val="1"/>
          <w:rtl w:val="0"/>
        </w:rPr>
        <w:t xml:space="preserve">e-mail: </w:t>
      </w:r>
      <w:r w:rsidDel="00000000" w:rsidR="00000000" w:rsidRPr="00000000">
        <w:rPr>
          <w:rtl w:val="0"/>
        </w:rPr>
        <w:t xml:space="preserve">Tsavina@technoscore.ru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566.9291338582675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upport@cybertonica.ru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